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GENERAL</w:t>
      </w:r>
    </w:p>
    <w:p>
      <w:pPr>
        <w:pStyle w:val="Subtitle"/>
      </w:pPr>
      <w:r>
        <w:rPr>
          <w:b/>
        </w:rPr>
        <w:t xml:space="preserve">CONSTRUIRE LOCUINTA INDIVIDUALA,ANEXE,  IMPREJMUIRE, BRANSAMENTE UTILITATI SI ORGANIZARE SANTIER</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LOCUINTA INDIVIDUALA,ANEXE,  IMPREJMUIRE, BRANSAMENTE UTILITATI SI ORGANIZARE SANTIER</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Jud. Iasi, Intravilan, Sat Breazu, Comuna Rediu</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66346, Nr. Cadastral 66346</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TĂRNARU Marius Paul si TĂRNARU  Simona Maria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3/2026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GENERAL</w:t>
            </w:r>
          </w:p>
        </w:tc>
        <w:tc>
          <w:tcPr>
            <w:tcW w:w="2860" w:type="dxa"/>
            <w:shd w:fill="2E74B5"/>
          </w:tcPr>
          <w:p>
            <w:pPr>
              <w:pStyle w:val="TableText"/>
            </w:pPr>
            <w:r>
              <w:rPr>
                <w:b/>
                <w:color w:val="FFFFFF"/>
              </w:rPr>
              <w:t xml:space="preserve">PROIECT 3/2026</w:t>
            </w:r>
          </w:p>
        </w:tc>
      </w:tr>
    </w:tbl>
    <w:p>
      <w:pPr>
        <w:spacing w:after="120"/>
      </w:pPr>
    </w:p>
    <w:p>
      <w:pPr>
        <w:pStyle w:val="Heading1"/>
      </w:pPr>
      <w:r>
        <w:rPr>
          <w:b/>
        </w:rPr>
        <w:t xml:space="preserve">1. DATE GENERALE SI LOCALIZAREA PROIECTULUI</w:t>
      </w:r>
    </w:p>
    <w:p>
      <w:pPr>
        <w:pStyle w:val="Heading2"/>
      </w:pPr>
      <w:r>
        <w:rPr>
          <w:b/>
        </w:rPr>
        <w:t xml:space="preserve">1.1. Obiectivul proiectului</w:t>
      </w:r>
    </w:p>
    <w:p>
      <w:pPr>
        <w:pStyle w:val="Normal"/>
        <w:jc w:val="both"/>
      </w:pPr>
      <w:r>
        <w:rPr/>
        <w:t xml:space="preserve">Pentru imobilul situat in Jud. Iasi, Intravilan, Sat Breazu, Comuna Rediu, beneficiarul doreste, prin intermediul prezentei documentatii, autorizarea lucrarilor pentru obiectivul "Construire Locuinta Individuala,Anexe,  Imprejmuire, Bransamente Utilitati si Organizare Santier". Lucrarile vizeaza edificarea unui imobil nou cu destinatia de locuinta individuala, in regim de inaltime Parter, cu respectarea conditiilor impuse prin Certificatul de Urbanism nr. 5842/30.04.2026 emis de catre PRIMĂRIA COMUNEI REDIU si a reglementarilor urbanistice aplicabile.</w:t>
      </w:r>
    </w:p>
    <w:p>
      <w:pPr>
        <w:pStyle w:val="Heading2"/>
      </w:pPr>
      <w:r>
        <w:rPr>
          <w:b/>
        </w:rPr>
        <w:t xml:space="preserve">1.2. Beneficiarul investitiei</w:t>
      </w:r>
    </w:p>
    <w:p>
      <w:pPr>
        <w:pStyle w:val="Normal"/>
        <w:jc w:val="both"/>
      </w:pPr>
      <w:r>
        <w:rPr/>
        <w:t xml:space="preserve">Beneficiar: TĂRNARU Marius Paul si TĂRNARU  Simona Maria</w:t>
      </w:r>
    </w:p>
    <w:p>
      <w:pPr>
        <w:pStyle w:val="Normal"/>
        <w:jc w:val="both"/>
      </w:pPr>
      <w:r>
        <w:rPr/>
        <w:t xml:space="preserve">Adresa beneficiar: mun. Iași, Str. Petru Șchiopul, nr.9, bl.H4A, sc.B, et.2, ap.10, jud.Iași</w:t>
      </w:r>
    </w:p>
    <w:p>
      <w:pPr>
        <w:pStyle w:val="Normal"/>
        <w:jc w:val="both"/>
      </w:pPr>
      <w:r>
        <w:rPr/>
        <w:t xml:space="preserve">Date contact: 0746.068.682</w:t>
      </w:r>
    </w:p>
    <w:p>
      <w:pPr>
        <w:pStyle w:val="Heading1"/>
      </w:pPr>
      <w:r>
        <w:rPr>
          <w:b/>
        </w:rPr>
        <w:t xml:space="preserve">2. REGIMUL TERENULUI</w:t>
      </w:r>
    </w:p>
    <w:p>
      <w:pPr>
        <w:pStyle w:val="Heading2"/>
      </w:pPr>
      <w:r>
        <w:rPr>
          <w:b/>
        </w:rPr>
        <w:t xml:space="preserve">2.1. Regimul juridic</w:t>
      </w:r>
    </w:p>
    <w:p>
      <w:pPr>
        <w:pStyle w:val="Normal"/>
        <w:jc w:val="both"/>
      </w:pPr>
      <w:r>
        <w:rPr/>
        <w:t xml:space="preserve">Imobilul este identificat prin C.F. Nr. 66346, Nr. Cadastral 66346, are suprafata de 500.00 mp, iar regimul de amplasare declarat este: intravilan. Dreptul asupra imobilului, sarcinile si eventualele servituti se verifica exclusiv pe baza extrasului de carte funciara valabil si a certificatului de urbanism.</w:t>
      </w:r>
    </w:p>
    <w:p>
      <w:pPr>
        <w:pStyle w:val="Heading2"/>
      </w:pPr>
      <w:r>
        <w:rPr>
          <w:b/>
        </w:rPr>
        <w:t xml:space="preserve">2.2. Regimul economic</w:t>
      </w:r>
    </w:p>
    <w:p>
      <w:pPr>
        <w:pStyle w:val="BodyText"/>
        <w:jc w:val="both"/>
      </w:pPr>
      <w:r>
        <w:rPr/>
        <w:t xml:space="preserve">Folosinta actuala teren: arabil</w:t>
      </w:r>
    </w:p>
    <w:p>
      <w:pPr>
        <w:pStyle w:val="BodyText"/>
        <w:jc w:val="both"/>
      </w:pPr>
      <w:r>
        <w:rPr/>
        <w:t xml:space="preserve">Destinatia terenului: curti constructii</w:t>
      </w:r>
    </w:p>
    <w:p>
      <w:pPr>
        <w:pStyle w:val="BodyText"/>
        <w:jc w:val="both"/>
      </w:pPr>
      <w:r>
        <w:rPr/>
        <w:t xml:space="preserve">Reglementari urbanistice: nr. 3, aprobată prin Hotărârea Consiliului Local Rediu nr. 78/09.09.2011 și prelungit prin Hotărârea Consiliului Local Rediu nr. 6/2024</w:t>
      </w:r>
    </w:p>
    <w:p>
      <w:pPr>
        <w:pStyle w:val="Heading2"/>
      </w:pPr>
      <w:r>
        <w:rPr>
          <w:b/>
        </w:rPr>
        <w:t xml:space="preserve">2.3. Incadrarea in localitate si in zona</w:t>
      </w:r>
    </w:p>
    <w:p>
      <w:pPr>
        <w:pStyle w:val="Normal"/>
        <w:jc w:val="both"/>
      </w:pPr>
      <w:r>
        <w:rPr/>
        <w:t xml:space="preserve">Amplasamentul este situat in Jud. Iasi, Intravilan, Sat Breazu, Comuna Rediu, intr-o zona reglementata prin documentatiile de urbanism aplicabile. Accesul si relatia cu vecinatatile se vor realiza cu respectarea certificatului de urbanism si a planului de situatie.</w:t>
      </w:r>
    </w:p>
    <w:p>
      <w:pPr>
        <w:pStyle w:val="Heading1"/>
      </w:pPr>
      <w:r>
        <w:rPr>
          <w:b/>
        </w:rPr>
        <w:t xml:space="preserve">3. CARACTERISTICILE AMPLASAMENTULUI</w:t>
      </w:r>
    </w:p>
    <w:p>
      <w:pPr>
        <w:pStyle w:val="Heading2"/>
      </w:pPr>
      <w:r>
        <w:rPr>
          <w:b/>
        </w:rPr>
        <w:t xml:space="preserve">3.1. Descrierea terenului</w:t>
      </w:r>
    </w:p>
    <w:p>
      <w:pPr>
        <w:pStyle w:val="Normal"/>
        <w:jc w:val="both"/>
      </w:pPr>
      <w:r>
        <w:rPr/>
        <w:t xml:space="preserve">Terenul are suprafata de 500.00 mp, folosinta actuala arabil si este destinat realizarii obiectivului propus. Caracteristicile exacte ale terenului de fundare se vor trata prin studiul geotehnic si proiectul de rezistenta.</w:t>
      </w:r>
    </w:p>
    <w:p>
      <w:pPr>
        <w:pStyle w:val="Heading2"/>
      </w:pPr>
      <w:r>
        <w:rPr>
          <w:b/>
        </w:rPr>
        <w:t xml:space="preserve">3.2. Clima, relief, geologie si seismicitate</w:t>
      </w:r>
    </w:p>
    <w:p>
      <w:pPr>
        <w:pStyle w:val="Normal"/>
        <w:jc w:val="both"/>
      </w:pPr>
      <w:r>
        <w:rPr/>
        <w:t xml:space="preserve">Clima, relieful si caracteristicile geologice se stabilesc in raport cu amplasamentul concret al investitiei, pe baza datelor climatologice regionale, a studiului geotehnic si a reglementarilor tehnice aplicabile. In lipsa unei surse locale certe, valorile nu se completeaza prin presupuneri.</w:t>
      </w:r>
    </w:p>
    <w:p>
      <w:pPr>
        <w:pStyle w:val="Normal"/>
        <w:jc w:val="both"/>
      </w:pPr>
      <w:r>
        <w:rPr/>
        <w:t xml:space="preserve">Stratificatia terenului, nivelul apei freatice, adancimea de fundare, presiunile conventionale de calcul si parametrii seismici se preiau exclusiv din studiile de specialitate si din proiectul de rezistenta.</w:t>
      </w:r>
    </w:p>
    <w:p>
      <w:pPr>
        <w:pStyle w:val="Normal"/>
        <w:jc w:val="both"/>
      </w:pPr>
      <w:r>
        <w:rPr/>
        <w:t xml:space="preserve">Datele geotehnice de mai jos sunt preluate din studiul geotehnic incarcat si se utilizeaza impreuna cu proiectul de rezistenta: Stratigrafie: (0.00-0.20)m Sol vegetal; (0.20-1.00)m Praf argilos nisipos, cafeniu, plastic vartos; (1.00-1.50)m Praf argilos, galbui cafeniu, plastic vartos; (1.50-5.00)m Argila prafoasa, loessoida, galbui, plastic consistenta; (5.00-7.00)m Argila prafoasa, cafenie, plastic consistenta. Nivelul apei freatice: Apa subterana nu a fost interceptata pana la adancimea cercetata (7.00m). Fundare: Fundare directa in stratul de praf argilos, galbui cafeniu, plastic vartos la adancimea de 1.50 m. Presiune / parametri de calcul: Presiuni conventionale: 170 kPa - praf argilos plastic, 180 kPa - argila prafoasa, plastic consistenta, 240 kPa - argila prafoasa cu plasticitate mai mare. Categoria geotehnica: Categoria 2 - risc geotehnic moderat. Riscul geotehnic: Risc geotehnic moderat (11 puncte). Parametrii seismici: Zona seismica cu ag=0.25g conform P100/2013. Recomandari: Fundatia continua, armata, latime B=0.60 m, adancime 1.50 m; recomandari pentru drenaj, hidroizolare si sistematizare teren; evitarea acumularii apei in jurul constructiei; lucrarile de sapaturi sa respecte normativul C169/88; utilizarea pamantului galben sortat pentru umpluturi si compactarea cu un grad minim de 92%.</w:t>
      </w:r>
    </w:p>
    <w:p>
      <w:pPr>
        <w:pStyle w:val="Normal"/>
        <w:jc w:val="both"/>
      </w:pPr>
      <w:r>
        <w:rPr/>
        <w:t xml:space="preserve">Solutia de fundare, cotele de fundare si modul de executie se definitiveaza si se verifica prin proiectul tehnic, detaliile de executie si documentele de specialitate aplicabile obiectivului.</w:t>
      </w:r>
    </w:p>
    <w:p>
      <w:pPr>
        <w:pStyle w:val="Heading2"/>
      </w:pPr>
      <w:r>
        <w:rPr>
          <w:b/>
        </w:rPr>
        <w:t xml:space="preserve">3.3. Relatii cu vecinatatile si conditii de amplasare</w:t>
      </w:r>
    </w:p>
    <w:p>
      <w:pPr>
        <w:pStyle w:val="Normal"/>
        <w:jc w:val="both"/>
      </w:pPr>
      <w:r>
        <w:rPr/>
        <w:t xml:space="preserve">A fost obtinut Certificatul de Urbanism nr. 5842/30.04.2026 emis de catre PRIMĂRIA COMUNEI REDIU. Conditiile de amplasare se verifica prin raportare la planul de situatie si la documentatia urbanistica aplicabila. Retragerile de mai jos se folosesc numai dupa verificarea cotelor pe plansa avizata.</w:t>
      </w:r>
    </w:p>
    <w:p>
      <w:pPr>
        <w:pStyle w:val="Normal"/>
        <w:jc w:val="both"/>
      </w:pPr>
      <w:r>
        <w:rPr/>
        <w:t xml:space="preserve">Acces teren: latura de sud (nr. cad. 2382 - Drum Satesc)</w:t>
      </w:r>
    </w:p>
    <w:p>
      <w:pPr>
        <w:pStyle w:val="ListParagraph"/>
        <w:numPr>
          <w:ilvl w:val="0"/>
          <w:numId w:val="1"/>
        </w:numPr>
        <w:jc w:val="both"/>
      </w:pPr>
      <w:r>
        <w:t xml:space="preserve">Retragerile fata de aliniament si vecini</w:t>
      </w:r>
    </w:p>
    <w:p>
      <w:pPr>
        <w:pStyle w:val="Normal"/>
        <w:jc w:val="both"/>
      </w:pPr>
      <w:r>
        <w:rPr/>
        <w:t xml:space="preserve">Retragere fata de limita de proprietate nord: 11.82 m (vecin: nr. cad. 64903).</w:t>
      </w:r>
    </w:p>
    <w:p>
      <w:pPr>
        <w:pStyle w:val="Normal"/>
        <w:jc w:val="both"/>
      </w:pPr>
      <w:r>
        <w:rPr/>
        <w:t xml:space="preserve">Retragere fata de limita de proprietate est: 5.66 m (vecin: nr. cad. 65539).</w:t>
      </w:r>
    </w:p>
    <w:p>
      <w:pPr>
        <w:pStyle w:val="Normal"/>
        <w:jc w:val="both"/>
      </w:pPr>
      <w:r>
        <w:rPr/>
        <w:t xml:space="preserve">Retragere fata de limita de proprietate sud: 5.00 m (vecin: nr. cad. 2382 - Drum Satesc).</w:t>
      </w:r>
    </w:p>
    <w:p>
      <w:pPr>
        <w:pStyle w:val="Normal"/>
        <w:jc w:val="both"/>
      </w:pPr>
      <w:r>
        <w:rPr/>
        <w:t xml:space="preserve">Retragere fata de limita de proprietate vest: 3.00 m (vecin: nr. cad. 68149).</w:t>
      </w:r>
    </w:p>
    <w:p>
      <w:pPr>
        <w:pStyle w:val="Normal"/>
        <w:jc w:val="both"/>
      </w:pPr>
      <w:r>
        <w:rPr/>
        <w:t xml:space="preserve">Cote teren / plan topografic: Acces - 163.32, 163.47, 163.68</w:t>
      </w:r>
    </w:p>
    <w:p>
      <w:pPr>
        <w:pStyle w:val="Heading1"/>
      </w:pPr>
      <w:r>
        <w:rPr>
          <w:b/>
        </w:rPr>
        <w:t xml:space="preserve">4. INDICATORI SI ECHIPARE EDILITARA</w:t>
      </w:r>
    </w:p>
    <w:p>
      <w:pPr>
        <w:pStyle w:val="Heading2"/>
      </w:pPr>
      <w:r>
        <w:rPr>
          <w:b/>
        </w:rPr>
        <w:t xml:space="preserve">4.1. Bilantul teritorial si componenta imobilelor</w:t>
      </w:r>
    </w:p>
    <w:p>
      <w:pPr>
        <w:pStyle w:val="ListParagraph"/>
        <w:numPr>
          <w:ilvl w:val="0"/>
          <w:numId w:val="1"/>
        </w:numPr>
        <w:jc w:val="both"/>
      </w:pPr>
      <w:r>
        <w:t xml:space="preserve">Suprafata terenului: 500.00 mp</w:t>
      </w:r>
    </w:p>
    <w:p>
      <w:pPr>
        <w:pStyle w:val="ListParagraph"/>
        <w:numPr>
          <w:ilvl w:val="0"/>
          <w:numId w:val="1"/>
        </w:numPr>
        <w:jc w:val="both"/>
      </w:pPr>
      <w:r>
        <w:t xml:space="preserve">Suprafata construita propusa: 74.00 mp</w:t>
      </w:r>
    </w:p>
    <w:p>
      <w:pPr>
        <w:pStyle w:val="ListParagraph"/>
        <w:numPr>
          <w:ilvl w:val="0"/>
          <w:numId w:val="1"/>
        </w:numPr>
        <w:jc w:val="both"/>
      </w:pPr>
      <w:r>
        <w:t xml:space="preserve">Suprafata construita desfasurata propusa: 74.00 mp</w:t>
      </w:r>
    </w:p>
    <w:p>
      <w:pPr>
        <w:pStyle w:val="ListParagraph"/>
        <w:numPr>
          <w:ilvl w:val="0"/>
          <w:numId w:val="1"/>
        </w:numPr>
        <w:jc w:val="both"/>
      </w:pPr>
      <w:r>
        <w:t xml:space="preserve">Suprafata utila calculata: 58.10 mp</w:t>
      </w:r>
    </w:p>
    <w:p>
      <w:pPr>
        <w:pStyle w:val="ListParagraph"/>
        <w:numPr>
          <w:ilvl w:val="0"/>
          <w:numId w:val="1"/>
        </w:numPr>
        <w:jc w:val="both"/>
      </w:pPr>
      <w:r>
        <w:t xml:space="preserve">Procent de ocupare a terenului (POT) propus: 14.80%</w:t>
      </w:r>
    </w:p>
    <w:p>
      <w:pPr>
        <w:pStyle w:val="ListParagraph"/>
        <w:numPr>
          <w:ilvl w:val="0"/>
          <w:numId w:val="1"/>
        </w:numPr>
        <w:jc w:val="both"/>
      </w:pPr>
      <w:r>
        <w:t xml:space="preserve">Coeficient de utilizare a terenului (CUT) propus: 0.15</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1560"/>
        <w:gridCol w:w="1560"/>
        <w:gridCol w:w="1560"/>
        <w:gridCol w:w="1560"/>
        <w:gridCol w:w="1560"/>
        <w:gridCol w:w="1560"/>
      </w:tblGrid>
      <w:tr>
        <w:tc>
          <w:tcPr>
            <w:tcW w:w="9360" w:type="dxa"/>
            <w:gridSpan w:val="6"/>
            <w:shd w:fill="2E74B5"/>
          </w:tcPr>
          <w:p>
            <w:pPr>
              <w:pStyle w:val="TableText"/>
            </w:pPr>
            <w:r>
              <w:rPr>
                <w:b/>
                <w:color w:val="FFFFFF"/>
              </w:rPr>
              <w:t xml:space="preserve">Componenta imobilului - locuinta individuala Parter</w:t>
            </w:r>
          </w:p>
        </w:tc>
      </w:tr>
      <w:tr>
        <w:tc>
          <w:tcPr>
            <w:tcW w:w="1560" w:type="dxa"/>
            <w:shd w:fill="F2F4F7"/>
          </w:tcPr>
          <w:p>
            <w:pPr>
              <w:pStyle w:val="TableText"/>
            </w:pPr>
            <w:r>
              <w:rPr>
                <w:b/>
              </w:rPr>
              <w:t xml:space="preserve">Nivel</w:t>
            </w:r>
          </w:p>
        </w:tc>
        <w:tc>
          <w:tcPr>
            <w:tcW w:w="1560" w:type="dxa"/>
            <w:shd w:fill="F2F4F7"/>
          </w:tcPr>
          <w:p>
            <w:pPr>
              <w:pStyle w:val="TableText"/>
            </w:pPr>
            <w:r>
              <w:rPr>
                <w:b/>
              </w:rPr>
              <w:t xml:space="preserve">Cod</w:t>
            </w:r>
          </w:p>
        </w:tc>
        <w:tc>
          <w:tcPr>
            <w:tcW w:w="3120" w:type="dxa"/>
            <w:gridSpan w:val="2"/>
            <w:shd w:fill="F2F4F7"/>
          </w:tcPr>
          <w:p>
            <w:pPr>
              <w:pStyle w:val="TableText"/>
            </w:pPr>
            <w:r>
              <w:rPr>
                <w:b/>
              </w:rPr>
              <w:t xml:space="preserve">Denumire spatiu</w:t>
            </w:r>
          </w:p>
        </w:tc>
        <w:tc>
          <w:tcPr>
            <w:tcW w:w="1560" w:type="dxa"/>
            <w:shd w:fill="F2F4F7"/>
          </w:tcPr>
          <w:p>
            <w:pPr>
              <w:pStyle w:val="TableText"/>
            </w:pPr>
            <w:r>
              <w:rPr>
                <w:b/>
              </w:rPr>
              <w:t xml:space="preserve">Pardoseala</w:t>
            </w:r>
          </w:p>
        </w:tc>
        <w:tc>
          <w:tcPr>
            <w:tcW w:w="1560" w:type="dxa"/>
            <w:shd w:fill="F2F4F7"/>
          </w:tcPr>
          <w:p>
            <w:pPr>
              <w:pStyle w:val="TableText"/>
            </w:pPr>
            <w:r>
              <w:rPr>
                <w:b/>
              </w:rPr>
              <w:t xml:space="preserve">Suprafata utila</w:t>
            </w:r>
          </w:p>
        </w:tc>
      </w:tr>
      <w:tr>
        <w:tc>
          <w:tcPr>
            <w:tcW w:w="1560" w:type="dxa"/>
          </w:tcPr>
          <w:p>
            <w:pPr>
              <w:pStyle w:val="TableText"/>
            </w:pPr>
            <w:r>
              <w:rPr/>
              <w:t xml:space="preserve">P</w:t>
            </w:r>
          </w:p>
        </w:tc>
        <w:tc>
          <w:tcPr>
            <w:tcW w:w="1560" w:type="dxa"/>
          </w:tcPr>
          <w:p>
            <w:pPr>
              <w:pStyle w:val="TableText"/>
            </w:pPr>
            <w:r>
              <w:rPr/>
              <w:t xml:space="preserve">P.01</w:t>
            </w:r>
          </w:p>
        </w:tc>
        <w:tc>
          <w:tcPr>
            <w:tcW w:w="3120" w:type="dxa"/>
            <w:gridSpan w:val="2"/>
          </w:tcPr>
          <w:p>
            <w:pPr>
              <w:pStyle w:val="TableText"/>
            </w:pPr>
            <w:r>
              <w:rPr/>
              <w:t xml:space="preserve">Dormitor Matrimonial</w:t>
            </w:r>
          </w:p>
        </w:tc>
        <w:tc>
          <w:tcPr>
            <w:tcW w:w="1560" w:type="dxa"/>
          </w:tcPr>
          <w:p>
            <w:pPr>
              <w:pStyle w:val="TableText"/>
            </w:pPr>
            <w:r>
              <w:rPr/>
              <w:t xml:space="preserve">Parchet SPC</w:t>
            </w:r>
          </w:p>
        </w:tc>
        <w:tc>
          <w:tcPr>
            <w:tcW w:w="1560" w:type="dxa"/>
          </w:tcPr>
          <w:p>
            <w:pPr>
              <w:pStyle w:val="TableText"/>
            </w:pPr>
            <w:r>
              <w:rPr/>
              <w:t xml:space="preserve">9.74 mp</w:t>
            </w:r>
          </w:p>
        </w:tc>
      </w:tr>
      <w:tr>
        <w:tc>
          <w:tcPr>
            <w:tcW w:w="1560" w:type="dxa"/>
          </w:tcPr>
          <w:p>
            <w:pPr>
              <w:pStyle w:val="TableText"/>
            </w:pPr>
            <w:r>
              <w:rPr/>
              <w:t xml:space="preserve">P</w:t>
            </w:r>
          </w:p>
        </w:tc>
        <w:tc>
          <w:tcPr>
            <w:tcW w:w="1560" w:type="dxa"/>
          </w:tcPr>
          <w:p>
            <w:pPr>
              <w:pStyle w:val="TableText"/>
            </w:pPr>
            <w:r>
              <w:rPr/>
              <w:t xml:space="preserve">P.02</w:t>
            </w:r>
          </w:p>
        </w:tc>
        <w:tc>
          <w:tcPr>
            <w:tcW w:w="3120" w:type="dxa"/>
            <w:gridSpan w:val="2"/>
          </w:tcPr>
          <w:p>
            <w:pPr>
              <w:pStyle w:val="TableText"/>
            </w:pPr>
            <w:r>
              <w:rPr/>
              <w:t xml:space="preserve">Dormitor Secundar</w:t>
            </w:r>
          </w:p>
        </w:tc>
        <w:tc>
          <w:tcPr>
            <w:tcW w:w="1560" w:type="dxa"/>
          </w:tcPr>
          <w:p>
            <w:pPr>
              <w:pStyle w:val="TableText"/>
            </w:pPr>
            <w:r>
              <w:rPr/>
              <w:t xml:space="preserve">Parchet SPC</w:t>
            </w:r>
          </w:p>
        </w:tc>
        <w:tc>
          <w:tcPr>
            <w:tcW w:w="1560" w:type="dxa"/>
          </w:tcPr>
          <w:p>
            <w:pPr>
              <w:pStyle w:val="TableText"/>
            </w:pPr>
            <w:r>
              <w:rPr/>
              <w:t xml:space="preserve">9.71 mp</w:t>
            </w:r>
          </w:p>
        </w:tc>
      </w:tr>
      <w:tr>
        <w:tc>
          <w:tcPr>
            <w:tcW w:w="1560" w:type="dxa"/>
          </w:tcPr>
          <w:p>
            <w:pPr>
              <w:pStyle w:val="TableText"/>
            </w:pPr>
            <w:r>
              <w:rPr/>
              <w:t xml:space="preserve">P</w:t>
            </w:r>
          </w:p>
        </w:tc>
        <w:tc>
          <w:tcPr>
            <w:tcW w:w="1560" w:type="dxa"/>
          </w:tcPr>
          <w:p>
            <w:pPr>
              <w:pStyle w:val="TableText"/>
            </w:pPr>
            <w:r>
              <w:rPr/>
              <w:t xml:space="preserve">P.03</w:t>
            </w:r>
          </w:p>
        </w:tc>
        <w:tc>
          <w:tcPr>
            <w:tcW w:w="3120" w:type="dxa"/>
            <w:gridSpan w:val="2"/>
          </w:tcPr>
          <w:p>
            <w:pPr>
              <w:pStyle w:val="TableText"/>
            </w:pPr>
            <w:r>
              <w:rPr/>
              <w:t xml:space="preserve">Baie</w:t>
            </w:r>
          </w:p>
        </w:tc>
        <w:tc>
          <w:tcPr>
            <w:tcW w:w="1560" w:type="dxa"/>
          </w:tcPr>
          <w:p>
            <w:pPr>
              <w:pStyle w:val="TableText"/>
            </w:pPr>
            <w:r>
              <w:rPr/>
              <w:t xml:space="preserve">Parchet SPC</w:t>
            </w:r>
          </w:p>
        </w:tc>
        <w:tc>
          <w:tcPr>
            <w:tcW w:w="1560" w:type="dxa"/>
          </w:tcPr>
          <w:p>
            <w:pPr>
              <w:pStyle w:val="TableText"/>
            </w:pPr>
            <w:r>
              <w:rPr/>
              <w:t xml:space="preserve">3.94 mp</w:t>
            </w:r>
          </w:p>
        </w:tc>
      </w:tr>
      <w:tr>
        <w:tc>
          <w:tcPr>
            <w:tcW w:w="1560" w:type="dxa"/>
          </w:tcPr>
          <w:p>
            <w:pPr>
              <w:pStyle w:val="TableText"/>
            </w:pPr>
            <w:r>
              <w:rPr/>
              <w:t xml:space="preserve">P</w:t>
            </w:r>
          </w:p>
        </w:tc>
        <w:tc>
          <w:tcPr>
            <w:tcW w:w="1560" w:type="dxa"/>
          </w:tcPr>
          <w:p>
            <w:pPr>
              <w:pStyle w:val="TableText"/>
            </w:pPr>
            <w:r>
              <w:rPr/>
              <w:t xml:space="preserve">P.04</w:t>
            </w:r>
          </w:p>
        </w:tc>
        <w:tc>
          <w:tcPr>
            <w:tcW w:w="3120" w:type="dxa"/>
            <w:gridSpan w:val="2"/>
          </w:tcPr>
          <w:p>
            <w:pPr>
              <w:pStyle w:val="TableText"/>
            </w:pPr>
            <w:r>
              <w:rPr/>
              <w:t xml:space="preserve">Birou</w:t>
            </w:r>
          </w:p>
        </w:tc>
        <w:tc>
          <w:tcPr>
            <w:tcW w:w="1560" w:type="dxa"/>
          </w:tcPr>
          <w:p>
            <w:pPr>
              <w:pStyle w:val="TableText"/>
            </w:pPr>
            <w:r>
              <w:rPr/>
              <w:t xml:space="preserve">Parchet SPC</w:t>
            </w:r>
          </w:p>
        </w:tc>
        <w:tc>
          <w:tcPr>
            <w:tcW w:w="1560" w:type="dxa"/>
          </w:tcPr>
          <w:p>
            <w:pPr>
              <w:pStyle w:val="TableText"/>
            </w:pPr>
            <w:r>
              <w:rPr/>
              <w:t xml:space="preserve">4.80 mp</w:t>
            </w:r>
          </w:p>
        </w:tc>
      </w:tr>
      <w:tr>
        <w:tc>
          <w:tcPr>
            <w:tcW w:w="1560" w:type="dxa"/>
          </w:tcPr>
          <w:p>
            <w:pPr>
              <w:pStyle w:val="TableText"/>
            </w:pPr>
            <w:r>
              <w:rPr/>
              <w:t xml:space="preserve">P</w:t>
            </w:r>
          </w:p>
        </w:tc>
        <w:tc>
          <w:tcPr>
            <w:tcW w:w="1560" w:type="dxa"/>
          </w:tcPr>
          <w:p>
            <w:pPr>
              <w:pStyle w:val="TableText"/>
            </w:pPr>
            <w:r>
              <w:rPr/>
              <w:t xml:space="preserve">P.05</w:t>
            </w:r>
          </w:p>
        </w:tc>
        <w:tc>
          <w:tcPr>
            <w:tcW w:w="3120" w:type="dxa"/>
            <w:gridSpan w:val="2"/>
          </w:tcPr>
          <w:p>
            <w:pPr>
              <w:pStyle w:val="TableText"/>
            </w:pPr>
            <w:r>
              <w:rPr/>
              <w:t xml:space="preserve">C.T.</w:t>
            </w:r>
          </w:p>
        </w:tc>
        <w:tc>
          <w:tcPr>
            <w:tcW w:w="1560" w:type="dxa"/>
          </w:tcPr>
          <w:p>
            <w:pPr>
              <w:pStyle w:val="TableText"/>
            </w:pPr>
            <w:r>
              <w:rPr/>
              <w:t xml:space="preserve">Gresie</w:t>
            </w:r>
          </w:p>
        </w:tc>
        <w:tc>
          <w:tcPr>
            <w:tcW w:w="1560" w:type="dxa"/>
          </w:tcPr>
          <w:p>
            <w:pPr>
              <w:pStyle w:val="TableText"/>
            </w:pPr>
            <w:r>
              <w:rPr/>
              <w:t xml:space="preserve">3.50 mp</w:t>
            </w:r>
          </w:p>
        </w:tc>
      </w:tr>
      <w:tr>
        <w:tc>
          <w:tcPr>
            <w:tcW w:w="1560" w:type="dxa"/>
          </w:tcPr>
          <w:p>
            <w:pPr>
              <w:pStyle w:val="TableText"/>
            </w:pPr>
            <w:r>
              <w:rPr/>
              <w:t xml:space="preserve">P</w:t>
            </w:r>
          </w:p>
        </w:tc>
        <w:tc>
          <w:tcPr>
            <w:tcW w:w="1560" w:type="dxa"/>
          </w:tcPr>
          <w:p>
            <w:pPr>
              <w:pStyle w:val="TableText"/>
            </w:pPr>
            <w:r>
              <w:rPr/>
              <w:t xml:space="preserve">P.06</w:t>
            </w:r>
          </w:p>
        </w:tc>
        <w:tc>
          <w:tcPr>
            <w:tcW w:w="3120" w:type="dxa"/>
            <w:gridSpan w:val="2"/>
          </w:tcPr>
          <w:p>
            <w:pPr>
              <w:pStyle w:val="TableText"/>
            </w:pPr>
            <w:r>
              <w:rPr/>
              <w:t xml:space="preserve">Hol</w:t>
            </w:r>
          </w:p>
        </w:tc>
        <w:tc>
          <w:tcPr>
            <w:tcW w:w="1560" w:type="dxa"/>
          </w:tcPr>
          <w:p>
            <w:pPr>
              <w:pStyle w:val="TableText"/>
            </w:pPr>
            <w:r>
              <w:rPr/>
              <w:t xml:space="preserve">Parchet SPC</w:t>
            </w:r>
          </w:p>
        </w:tc>
        <w:tc>
          <w:tcPr>
            <w:tcW w:w="1560" w:type="dxa"/>
          </w:tcPr>
          <w:p>
            <w:pPr>
              <w:pStyle w:val="TableText"/>
            </w:pPr>
            <w:r>
              <w:rPr/>
              <w:t xml:space="preserve">8.74 mp</w:t>
            </w:r>
          </w:p>
        </w:tc>
      </w:tr>
      <w:tr>
        <w:tc>
          <w:tcPr>
            <w:tcW w:w="1560" w:type="dxa"/>
          </w:tcPr>
          <w:p>
            <w:pPr>
              <w:pStyle w:val="TableText"/>
            </w:pPr>
            <w:r>
              <w:rPr/>
              <w:t xml:space="preserve">P</w:t>
            </w:r>
          </w:p>
        </w:tc>
        <w:tc>
          <w:tcPr>
            <w:tcW w:w="1560" w:type="dxa"/>
          </w:tcPr>
          <w:p>
            <w:pPr>
              <w:pStyle w:val="TableText"/>
            </w:pPr>
            <w:r>
              <w:rPr/>
              <w:t xml:space="preserve">P.07</w:t>
            </w:r>
          </w:p>
        </w:tc>
        <w:tc>
          <w:tcPr>
            <w:tcW w:w="3120" w:type="dxa"/>
            <w:gridSpan w:val="2"/>
          </w:tcPr>
          <w:p>
            <w:pPr>
              <w:pStyle w:val="TableText"/>
            </w:pPr>
            <w:r>
              <w:rPr/>
              <w:t xml:space="preserve">Bucatarie + Living</w:t>
            </w:r>
          </w:p>
        </w:tc>
        <w:tc>
          <w:tcPr>
            <w:tcW w:w="1560" w:type="dxa"/>
          </w:tcPr>
          <w:p>
            <w:pPr>
              <w:pStyle w:val="TableText"/>
            </w:pPr>
            <w:r>
              <w:rPr/>
              <w:t xml:space="preserve">Parchet SPC</w:t>
            </w:r>
          </w:p>
        </w:tc>
        <w:tc>
          <w:tcPr>
            <w:tcW w:w="1560" w:type="dxa"/>
          </w:tcPr>
          <w:p>
            <w:pPr>
              <w:pStyle w:val="TableText"/>
            </w:pPr>
            <w:r>
              <w:rPr/>
              <w:t xml:space="preserve">17.67 mp</w:t>
            </w:r>
          </w:p>
        </w:tc>
      </w:tr>
      <w:tr>
        <w:tc>
          <w:tcPr>
            <w:tcW w:w="1560" w:type="dxa"/>
          </w:tcPr>
          <w:p>
            <w:pPr>
              <w:pStyle w:val="TableText"/>
            </w:pPr>
            <w:r>
              <w:rPr/>
              <w:t xml:space="preserve">P</w:t>
            </w:r>
          </w:p>
        </w:tc>
        <w:tc>
          <w:tcPr>
            <w:tcW w:w="1560" w:type="dxa"/>
          </w:tcPr>
          <w:p>
            <w:pPr>
              <w:pStyle w:val="TableText"/>
            </w:pPr>
            <w:r>
              <w:rPr/>
              <w:t xml:space="preserve">P.08</w:t>
            </w:r>
          </w:p>
        </w:tc>
        <w:tc>
          <w:tcPr>
            <w:tcW w:w="3120" w:type="dxa"/>
            <w:gridSpan w:val="2"/>
          </w:tcPr>
          <w:p>
            <w:pPr>
              <w:pStyle w:val="TableText"/>
            </w:pPr>
            <w:r>
              <w:rPr/>
              <w:t xml:space="preserve">Terasa</w:t>
            </w:r>
          </w:p>
        </w:tc>
        <w:tc>
          <w:tcPr>
            <w:tcW w:w="1560" w:type="dxa"/>
          </w:tcPr>
          <w:p>
            <w:pPr>
              <w:pStyle w:val="TableText"/>
            </w:pPr>
            <w:r>
              <w:rPr/>
              <w:t xml:space="preserve">gresie</w:t>
            </w:r>
          </w:p>
        </w:tc>
        <w:tc>
          <w:tcPr>
            <w:tcW w:w="1560" w:type="dxa"/>
          </w:tcPr>
          <w:p>
            <w:pPr>
              <w:pStyle w:val="TableText"/>
            </w:pPr>
            <w:r>
              <w:rPr/>
              <w:t xml:space="preserve">9.77 mp</w:t>
            </w:r>
          </w:p>
        </w:tc>
      </w:tr>
      <w:tr>
        <w:tc>
          <w:tcPr>
            <w:tcW w:w="7800" w:type="dxa"/>
            <w:gridSpan w:val="5"/>
            <w:shd w:fill="F2F4F7"/>
          </w:tcPr>
          <w:p>
            <w:pPr>
              <w:pStyle w:val="TableText"/>
            </w:pPr>
            <w:r>
              <w:rPr>
                <w:b/>
              </w:rPr>
              <w:t xml:space="preserve">TOTAL SUPRAFATA UTILA</w:t>
            </w:r>
          </w:p>
        </w:tc>
        <w:tc>
          <w:tcPr>
            <w:tcW w:w="1560" w:type="dxa"/>
            <w:shd w:fill="F2F4F7"/>
          </w:tcPr>
          <w:p>
            <w:pPr>
              <w:pStyle w:val="TableText"/>
            </w:pPr>
            <w:r>
              <w:rPr>
                <w:b/>
              </w:rPr>
              <w:t xml:space="preserve">58.10 mp</w:t>
            </w:r>
          </w:p>
        </w:tc>
      </w:tr>
    </w:tbl>
    <w:p>
      <w:pPr>
        <w:spacing w:after="120"/>
      </w:pPr>
    </w:p>
    <w:p>
      <w:pPr>
        <w:pStyle w:val="Heading2"/>
      </w:pPr>
      <w:r>
        <w:rPr>
          <w:b/>
        </w:rPr>
        <w:t xml:space="preserve">4.2. Nivelul de echipare edilitara</w:t>
      </w:r>
    </w:p>
    <w:p>
      <w:pPr>
        <w:pStyle w:val="ListParagraph"/>
        <w:numPr>
          <w:ilvl w:val="0"/>
          <w:numId w:val="1"/>
        </w:numPr>
        <w:jc w:val="both"/>
      </w:pPr>
      <w:r>
        <w:t xml:space="preserve">Alimentare cu apa potabila: put forat propriu</w:t>
      </w:r>
    </w:p>
    <w:p>
      <w:pPr>
        <w:pStyle w:val="ListParagraph"/>
        <w:numPr>
          <w:ilvl w:val="0"/>
          <w:numId w:val="1"/>
        </w:numPr>
        <w:jc w:val="both"/>
      </w:pPr>
      <w:r>
        <w:t xml:space="preserve">Colectare ape uzate - canalizare: bazin vidanjabil</w:t>
      </w:r>
    </w:p>
    <w:p>
      <w:pPr>
        <w:pStyle w:val="ListParagraph"/>
        <w:numPr>
          <w:ilvl w:val="0"/>
          <w:numId w:val="1"/>
        </w:numPr>
        <w:jc w:val="both"/>
      </w:pPr>
      <w:r>
        <w:t xml:space="preserve">Alimentare cu energie electrica: alimentare cu energie electrică</w:t>
      </w:r>
    </w:p>
    <w:p>
      <w:pPr>
        <w:pStyle w:val="ListParagraph"/>
        <w:numPr>
          <w:ilvl w:val="0"/>
          <w:numId w:val="1"/>
        </w:numPr>
        <w:jc w:val="both"/>
      </w:pPr>
      <w:r>
        <w:t xml:space="preserve">Alimentare cu gaze naturale: gaze naturale</w:t>
      </w:r>
    </w:p>
    <w:p>
      <w:pPr>
        <w:pStyle w:val="ListParagraph"/>
        <w:numPr>
          <w:ilvl w:val="0"/>
          <w:numId w:val="1"/>
        </w:numPr>
        <w:jc w:val="both"/>
      </w:pPr>
      <w:r>
        <w:t xml:space="preserve">Colectare ape meteorice: Preluare apa pluviala prin sistem de drenaj si evacuare rapida</w:t>
      </w:r>
    </w:p>
    <w:p>
      <w:pPr>
        <w:pStyle w:val="ListParagraph"/>
        <w:numPr>
          <w:ilvl w:val="0"/>
          <w:numId w:val="1"/>
        </w:numPr>
        <w:jc w:val="both"/>
      </w:pPr>
      <w:r>
        <w:t xml:space="preserve">Deseuri menajere in exploatare: colectare integrata la nivel de comuna</w:t>
      </w:r>
    </w:p>
    <w:p>
      <w:pPr>
        <w:pStyle w:val="ListParagraph"/>
        <w:numPr>
          <w:ilvl w:val="0"/>
          <w:numId w:val="1"/>
        </w:numPr>
        <w:jc w:val="both"/>
      </w:pPr>
      <w:r>
        <w:t xml:space="preserve">Deseuri din constructii: Trebuie prevazut contract cu operator autorizat pentru deseurile rezultate in timpul executiei</w:t>
      </w:r>
    </w:p>
    <w:p>
      <w:pPr>
        <w:pStyle w:val="Heading2"/>
      </w:pPr>
      <w:r>
        <w:rPr>
          <w:b/>
        </w:rPr>
        <w:t xml:space="preserve">4.3. Conditii de executie si corelare</w:t>
      </w:r>
    </w:p>
    <w:p>
      <w:pPr>
        <w:pStyle w:val="Normal"/>
        <w:jc w:val="both"/>
      </w:pPr>
      <w:r>
        <w:rPr/>
        <w:t xml:space="preserve">Datele numerice si solutiile tehnice din prezentul memoriu se citesc impreuna cu plansele si proiectele de specialitate. In cazul unei diferente, prevaleaza cotele si specificatiile din piesele desenate aprobate, fara completarea prin presupuneri a datelor care nu apar in documentele sursa.</w:t>
      </w:r>
    </w:p>
    <w:p>
      <w:pPr>
        <w:pStyle w:val="Heading1"/>
      </w:pPr>
      <w:r>
        <w:rPr>
          <w:b/>
        </w:rPr>
        <w:t xml:space="preserve">5. OBSERVATII GENERALE</w:t>
      </w:r>
    </w:p>
    <w:p>
      <w:pPr>
        <w:pStyle w:val="Normal"/>
        <w:jc w:val="both"/>
      </w:pPr>
      <w:r>
        <w:rPr/>
        <w:t xml:space="preserve">Prezentul Memoriu General face parte integranta din documentatia elaborata pentru faza D.T.A.C. Executia lucrarilor se va realiza cu respectarea proiectului tehnic, a avizelor si a legislatiei in vigoare.</w:t>
      </w:r>
    </w:p>
    <w:p>
      <w:pPr>
        <w:pStyle w:val="Heading1"/>
      </w:pPr>
      <w:r>
        <w:rPr>
          <w:b/>
        </w:rPr>
        <w:t xml:space="preserve">6.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Reglementarile tehnice de specialitate aplicabile structurii, instalatiilor, eficientei energetice, securitatii la incendiu si cerintelor fundamentale, conform proiectelor si studiilor de specialitate.</w:t>
      </w:r>
    </w:p>
    <w:p>
      <w:pPr>
        <w:pStyle w:val="Heading1"/>
      </w:pPr>
      <w:r>
        <w:rPr>
          <w:b/>
        </w:rPr>
        <w:t xml:space="preserve">7.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3/2026 - "Construire Locuinta Individuala,Anexe,  Imprejmuire, Bransamente Utilitati si Organizare Santier"</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2026-08-12T09:45:00Z</dcterms:created>
  <dcterms:modified xsi:type="dcterms:W3CDTF">2026-08-12T09:45:00Z</dcterms:modified>
</cp:coreProperties>
</file>